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1C" w:rsidRPr="00C17D1C" w:rsidRDefault="00C17D1C" w:rsidP="00C1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1C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образовательное учреждение </w:t>
      </w:r>
    </w:p>
    <w:p w:rsidR="00AA6A90" w:rsidRPr="00C17D1C" w:rsidRDefault="00C17D1C" w:rsidP="00C1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1C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C17D1C" w:rsidRPr="00C17D1C" w:rsidRDefault="00C17D1C" w:rsidP="00C1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1C">
        <w:rPr>
          <w:rFonts w:ascii="Times New Roman" w:hAnsi="Times New Roman" w:cs="Times New Roman"/>
          <w:b/>
          <w:sz w:val="24"/>
          <w:szCs w:val="24"/>
        </w:rPr>
        <w:t>(повышения квалификации) специалистов</w:t>
      </w:r>
    </w:p>
    <w:p w:rsidR="00C17D1C" w:rsidRPr="00C17D1C" w:rsidRDefault="00C17D1C" w:rsidP="00C1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1C">
        <w:rPr>
          <w:rFonts w:ascii="Times New Roman" w:hAnsi="Times New Roman" w:cs="Times New Roman"/>
          <w:b/>
          <w:sz w:val="24"/>
          <w:szCs w:val="24"/>
        </w:rPr>
        <w:t xml:space="preserve">«Волгоградская государственная академия повышения квалификации </w:t>
      </w:r>
    </w:p>
    <w:p w:rsidR="00C17D1C" w:rsidRDefault="00C17D1C" w:rsidP="00C1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1C">
        <w:rPr>
          <w:rFonts w:ascii="Times New Roman" w:hAnsi="Times New Roman" w:cs="Times New Roman"/>
          <w:b/>
          <w:sz w:val="24"/>
          <w:szCs w:val="24"/>
        </w:rPr>
        <w:t>и переподготовки работников образования»</w:t>
      </w:r>
    </w:p>
    <w:p w:rsidR="00C17D1C" w:rsidRDefault="00C17D1C" w:rsidP="00C1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D1C" w:rsidRDefault="00C17D1C" w:rsidP="00C1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D1C">
        <w:rPr>
          <w:rFonts w:ascii="Times New Roman" w:hAnsi="Times New Roman" w:cs="Times New Roman"/>
          <w:sz w:val="24"/>
          <w:szCs w:val="24"/>
        </w:rPr>
        <w:t>Кафедра воспитания и дополнительного образования детей и взрослых</w:t>
      </w:r>
    </w:p>
    <w:p w:rsidR="00C17D1C" w:rsidRDefault="00C17D1C" w:rsidP="00C17D1C">
      <w:pPr>
        <w:rPr>
          <w:rFonts w:ascii="Times New Roman" w:hAnsi="Times New Roman" w:cs="Times New Roman"/>
          <w:sz w:val="24"/>
          <w:szCs w:val="24"/>
        </w:rPr>
      </w:pPr>
    </w:p>
    <w:p w:rsidR="00C17D1C" w:rsidRDefault="00C17D1C" w:rsidP="00C17D1C">
      <w:pPr>
        <w:tabs>
          <w:tab w:val="left" w:pos="81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17D1C" w:rsidRDefault="00C17D1C" w:rsidP="00C17D1C">
      <w:pPr>
        <w:tabs>
          <w:tab w:val="left" w:pos="81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C17D1C" w:rsidRDefault="00C17D1C" w:rsidP="00C17D1C">
      <w:pPr>
        <w:tabs>
          <w:tab w:val="left" w:pos="81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Н.А. Болотов</w:t>
      </w:r>
    </w:p>
    <w:p w:rsidR="00C17D1C" w:rsidRDefault="00C17D1C" w:rsidP="00C17D1C">
      <w:pPr>
        <w:tabs>
          <w:tab w:val="left" w:pos="81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2012 г.</w:t>
      </w:r>
    </w:p>
    <w:p w:rsidR="00C17D1C" w:rsidRPr="00C17D1C" w:rsidRDefault="00C17D1C" w:rsidP="00C17D1C">
      <w:pPr>
        <w:rPr>
          <w:rFonts w:ascii="Times New Roman" w:hAnsi="Times New Roman" w:cs="Times New Roman"/>
          <w:sz w:val="24"/>
          <w:szCs w:val="24"/>
        </w:rPr>
      </w:pPr>
    </w:p>
    <w:p w:rsidR="00C17D1C" w:rsidRPr="00C17D1C" w:rsidRDefault="00C17D1C" w:rsidP="00C17D1C">
      <w:pPr>
        <w:rPr>
          <w:rFonts w:ascii="Times New Roman" w:hAnsi="Times New Roman" w:cs="Times New Roman"/>
          <w:sz w:val="24"/>
          <w:szCs w:val="24"/>
        </w:rPr>
      </w:pPr>
    </w:p>
    <w:p w:rsidR="00C17D1C" w:rsidRDefault="00C17D1C" w:rsidP="00C17D1C">
      <w:pPr>
        <w:rPr>
          <w:rFonts w:ascii="Times New Roman" w:hAnsi="Times New Roman" w:cs="Times New Roman"/>
          <w:sz w:val="24"/>
          <w:szCs w:val="24"/>
        </w:rPr>
      </w:pPr>
    </w:p>
    <w:p w:rsidR="00C17D1C" w:rsidRDefault="00C17D1C" w:rsidP="00C17D1C">
      <w:pPr>
        <w:rPr>
          <w:rFonts w:ascii="Times New Roman" w:hAnsi="Times New Roman" w:cs="Times New Roman"/>
          <w:sz w:val="24"/>
          <w:szCs w:val="24"/>
        </w:rPr>
      </w:pPr>
    </w:p>
    <w:p w:rsidR="00C17D1C" w:rsidRDefault="00C17D1C" w:rsidP="00C17D1C">
      <w:pPr>
        <w:rPr>
          <w:rFonts w:ascii="Times New Roman" w:hAnsi="Times New Roman" w:cs="Times New Roman"/>
          <w:sz w:val="24"/>
          <w:szCs w:val="24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17D1C">
        <w:rPr>
          <w:rFonts w:ascii="Times New Roman" w:hAnsi="Times New Roman" w:cs="Times New Roman"/>
          <w:sz w:val="36"/>
          <w:szCs w:val="36"/>
        </w:rPr>
        <w:t>Создание системы управления развитием педагогического коллектива общеобразовательного учреждения, ориентированного на индивидуализацию.</w:t>
      </w: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Default="00C17D1C" w:rsidP="00C17D1C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22341" w:rsidRDefault="00722341" w:rsidP="00722341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17D1C" w:rsidRPr="00F770BC" w:rsidRDefault="00C17D1C" w:rsidP="0072234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Волгоград</w:t>
      </w:r>
    </w:p>
    <w:p w:rsidR="00C17D1C" w:rsidRPr="00F770BC" w:rsidRDefault="00C17D1C" w:rsidP="0072234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2012</w:t>
      </w:r>
    </w:p>
    <w:p w:rsidR="00D63736" w:rsidRDefault="00D63736" w:rsidP="00D6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Настоящий модуль предназначен для проведения стажировки слушателей курсов повышения квалификации  по вопросам государственно-общественного управления образовательным учреждением, ориентированным на индивидуализацию.</w:t>
      </w:r>
    </w:p>
    <w:p w:rsidR="00D63736" w:rsidRDefault="00D63736" w:rsidP="00D6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36">
        <w:rPr>
          <w:rFonts w:ascii="Times New Roman" w:hAnsi="Times New Roman" w:cs="Times New Roman"/>
          <w:b/>
          <w:sz w:val="28"/>
          <w:szCs w:val="28"/>
        </w:rPr>
        <w:t>Цель освоения модуля</w:t>
      </w:r>
      <w:r>
        <w:rPr>
          <w:rFonts w:ascii="Times New Roman" w:hAnsi="Times New Roman" w:cs="Times New Roman"/>
          <w:sz w:val="28"/>
          <w:szCs w:val="28"/>
        </w:rPr>
        <w:t>: повышение уровня профессиональной компетентности руководителей образовательных учреждений в управлении развитием педагогического коллектива.</w:t>
      </w:r>
    </w:p>
    <w:p w:rsidR="00D63736" w:rsidRDefault="00D63736" w:rsidP="00D6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36">
        <w:rPr>
          <w:rFonts w:ascii="Times New Roman" w:hAnsi="Times New Roman" w:cs="Times New Roman"/>
          <w:b/>
          <w:sz w:val="28"/>
          <w:szCs w:val="28"/>
        </w:rPr>
        <w:t>Задачи модуля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736" w:rsidRDefault="00D63736" w:rsidP="00D6373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</w:t>
      </w:r>
      <w:r w:rsidR="005748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уровень профессиональной готовности стажеров к управлению развитием педагогического коллектива.</w:t>
      </w:r>
    </w:p>
    <w:p w:rsidR="00D63736" w:rsidRDefault="00D63736" w:rsidP="00D6373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строить модели компетентностной оценки профессионализма учителя с учетом уровня развития педагогического коллектива школы.</w:t>
      </w:r>
    </w:p>
    <w:p w:rsidR="00D63736" w:rsidRDefault="00D63736" w:rsidP="00D6373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строить алгоритм управления развитием педагогического коллектива на базе модели компетентностной оценки профессионализма учителя.</w:t>
      </w:r>
    </w:p>
    <w:p w:rsidR="00D63736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D63736" w:rsidRPr="00D63736">
        <w:rPr>
          <w:rFonts w:ascii="Times New Roman" w:hAnsi="Times New Roman" w:cs="Times New Roman"/>
          <w:b/>
          <w:sz w:val="28"/>
          <w:szCs w:val="28"/>
        </w:rPr>
        <w:t xml:space="preserve"> к подготовленности слушателей перед началом освоения модуля.</w:t>
      </w:r>
    </w:p>
    <w:p w:rsidR="00D63736" w:rsidRDefault="00D63736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736">
        <w:rPr>
          <w:rFonts w:ascii="Times New Roman" w:hAnsi="Times New Roman" w:cs="Times New Roman"/>
          <w:i/>
          <w:sz w:val="28"/>
          <w:szCs w:val="28"/>
        </w:rPr>
        <w:t>Слушатель должен знать:</w:t>
      </w:r>
    </w:p>
    <w:p w:rsidR="00D63736" w:rsidRDefault="00D63736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государственно-общественного управления;</w:t>
      </w:r>
    </w:p>
    <w:p w:rsidR="00D63736" w:rsidRDefault="00D63736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компетенций стимулирующего характера для работников общеобразовательного учреждения</w:t>
      </w:r>
      <w:r w:rsidR="00976F08">
        <w:rPr>
          <w:rFonts w:ascii="Times New Roman" w:hAnsi="Times New Roman" w:cs="Times New Roman"/>
          <w:sz w:val="28"/>
          <w:szCs w:val="28"/>
        </w:rPr>
        <w:t>;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развития своего педагогического коллектива.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Слушатель должен ум</w:t>
      </w:r>
      <w:r w:rsidRPr="003A2835">
        <w:rPr>
          <w:rFonts w:ascii="Times New Roman" w:hAnsi="Times New Roman" w:cs="Times New Roman"/>
          <w:i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проектировать систему по заданным параметрам;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объективность показателей проявления компетентности.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35">
        <w:rPr>
          <w:rFonts w:ascii="Times New Roman" w:hAnsi="Times New Roman" w:cs="Times New Roman"/>
          <w:b/>
          <w:sz w:val="28"/>
          <w:szCs w:val="28"/>
        </w:rPr>
        <w:t>Требования к подготовленности слушателей после освоения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35">
        <w:rPr>
          <w:rFonts w:ascii="Times New Roman" w:hAnsi="Times New Roman" w:cs="Times New Roman"/>
          <w:i/>
          <w:sz w:val="28"/>
          <w:szCs w:val="28"/>
        </w:rPr>
        <w:t>Слушатель 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системе компетентностной оценки профессионализма учителя и ее возможной модификации с учетом развития педагогического коллектива;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анализа ситуации развития педагогического коллектива;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организации работы по созданию системы управления развитием педагогического коллектива образовательного учреждения.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35">
        <w:rPr>
          <w:rFonts w:ascii="Times New Roman" w:hAnsi="Times New Roman" w:cs="Times New Roman"/>
          <w:i/>
          <w:sz w:val="28"/>
          <w:szCs w:val="28"/>
        </w:rPr>
        <w:t>Слушатель 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ситуацию развития педагогического коллектива с точки зрения профессиональной компетентности;</w:t>
      </w:r>
    </w:p>
    <w:p w:rsidR="003A2835" w:rsidRDefault="00722341" w:rsidP="00722341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35">
        <w:rPr>
          <w:rFonts w:ascii="Times New Roman" w:hAnsi="Times New Roman" w:cs="Times New Roman"/>
          <w:sz w:val="28"/>
          <w:szCs w:val="28"/>
        </w:rPr>
        <w:t>разрабатывать объективные показатели проявления профессиональных компетентностей;</w:t>
      </w:r>
    </w:p>
    <w:p w:rsidR="003A2835" w:rsidRDefault="003A2835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оценке</w:t>
      </w:r>
      <w:r w:rsidR="00722341">
        <w:rPr>
          <w:rFonts w:ascii="Times New Roman" w:hAnsi="Times New Roman" w:cs="Times New Roman"/>
          <w:sz w:val="28"/>
          <w:szCs w:val="28"/>
        </w:rPr>
        <w:t xml:space="preserve"> профессионализма учителя;</w:t>
      </w:r>
    </w:p>
    <w:p w:rsidR="00722341" w:rsidRDefault="00722341" w:rsidP="00D6373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строить алгоритм управления развитием педагогического коллектива на базе модели компетентностной оценки профессионализма учителя.</w:t>
      </w:r>
    </w:p>
    <w:p w:rsidR="00722341" w:rsidRDefault="00722341" w:rsidP="00722341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41" w:rsidRDefault="00722341" w:rsidP="00722341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41">
        <w:rPr>
          <w:rFonts w:ascii="Times New Roman" w:hAnsi="Times New Roman" w:cs="Times New Roman"/>
          <w:b/>
          <w:sz w:val="28"/>
          <w:szCs w:val="28"/>
        </w:rPr>
        <w:t>Структура модуля и виды занятий.</w:t>
      </w:r>
    </w:p>
    <w:p w:rsidR="00722341" w:rsidRDefault="00722341" w:rsidP="00722341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22341" w:rsidTr="0073519B">
        <w:tc>
          <w:tcPr>
            <w:tcW w:w="534" w:type="dxa"/>
          </w:tcPr>
          <w:p w:rsidR="00722341" w:rsidRDefault="00722341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22341" w:rsidRDefault="00722341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722341" w:rsidRDefault="00722341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393" w:type="dxa"/>
          </w:tcPr>
          <w:p w:rsidR="00722341" w:rsidRDefault="00722341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22341" w:rsidTr="0073519B">
        <w:tc>
          <w:tcPr>
            <w:tcW w:w="534" w:type="dxa"/>
          </w:tcPr>
          <w:p w:rsidR="00722341" w:rsidRDefault="00184C4F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722341" w:rsidRDefault="00184C4F" w:rsidP="00184C4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перечня компетенций стимулирующего характера для работников образовательного учреждения к построению школьной системы оценки профессионализма педагогических работников</w:t>
            </w:r>
          </w:p>
        </w:tc>
        <w:tc>
          <w:tcPr>
            <w:tcW w:w="2393" w:type="dxa"/>
          </w:tcPr>
          <w:p w:rsidR="00722341" w:rsidRDefault="00184C4F" w:rsidP="00B51EE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лекция </w:t>
            </w:r>
          </w:p>
        </w:tc>
        <w:tc>
          <w:tcPr>
            <w:tcW w:w="2393" w:type="dxa"/>
          </w:tcPr>
          <w:p w:rsidR="00722341" w:rsidRDefault="00184C4F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341" w:rsidTr="0073519B">
        <w:tc>
          <w:tcPr>
            <w:tcW w:w="534" w:type="dxa"/>
          </w:tcPr>
          <w:p w:rsidR="00722341" w:rsidRDefault="00184C4F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722341" w:rsidRDefault="00976F08" w:rsidP="00184C4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4C4F">
              <w:rPr>
                <w:rFonts w:ascii="Times New Roman" w:hAnsi="Times New Roman" w:cs="Times New Roman"/>
                <w:sz w:val="28"/>
                <w:szCs w:val="28"/>
              </w:rPr>
              <w:t>озможные пути построения модели компетентностной оценки профессионализма учителя</w:t>
            </w:r>
          </w:p>
        </w:tc>
        <w:tc>
          <w:tcPr>
            <w:tcW w:w="2393" w:type="dxa"/>
          </w:tcPr>
          <w:p w:rsidR="00722341" w:rsidRDefault="00184C4F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73519B">
              <w:rPr>
                <w:rFonts w:ascii="Times New Roman" w:hAnsi="Times New Roman" w:cs="Times New Roman"/>
                <w:sz w:val="28"/>
                <w:szCs w:val="28"/>
              </w:rPr>
              <w:t>ский семинар</w:t>
            </w:r>
          </w:p>
        </w:tc>
        <w:tc>
          <w:tcPr>
            <w:tcW w:w="2393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341" w:rsidTr="0073519B">
        <w:tc>
          <w:tcPr>
            <w:tcW w:w="534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722341" w:rsidRDefault="0073519B" w:rsidP="00735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компетентностной оценки профессионализма учителя в МБОУ СОШ № 14 «Зеленый шум».</w:t>
            </w:r>
          </w:p>
        </w:tc>
        <w:tc>
          <w:tcPr>
            <w:tcW w:w="2393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393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341" w:rsidTr="0073519B">
        <w:tc>
          <w:tcPr>
            <w:tcW w:w="534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722341" w:rsidRDefault="0073519B" w:rsidP="00735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перейти от системы компетентностной оценки к системе управления развитием педагогического коллектива</w:t>
            </w:r>
          </w:p>
        </w:tc>
        <w:tc>
          <w:tcPr>
            <w:tcW w:w="2393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393" w:type="dxa"/>
          </w:tcPr>
          <w:p w:rsidR="00722341" w:rsidRDefault="0073519B" w:rsidP="0072234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2341" w:rsidRPr="00722341" w:rsidRDefault="00722341" w:rsidP="00722341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736" w:rsidRPr="00D63736" w:rsidRDefault="00D63736" w:rsidP="00D637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736" w:rsidRDefault="00976F08" w:rsidP="00976F0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F08">
        <w:rPr>
          <w:rFonts w:ascii="Times New Roman" w:hAnsi="Times New Roman" w:cs="Times New Roman"/>
          <w:b/>
          <w:sz w:val="28"/>
          <w:szCs w:val="28"/>
        </w:rPr>
        <w:t>Содержание модуля.</w:t>
      </w:r>
    </w:p>
    <w:p w:rsidR="00976F08" w:rsidRPr="00976F08" w:rsidRDefault="00976F08" w:rsidP="005748A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перечня компетенций стимулирующего характера к построению школьной системы оценки профессионализма педагогических работников.</w:t>
      </w:r>
    </w:p>
    <w:p w:rsidR="00976F08" w:rsidRDefault="00976F08" w:rsidP="00574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F08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Перечня компетенций стимулирующего характера для работников общеобразовательных учреждений. Обозначение проблем, привнесенных </w:t>
      </w:r>
      <w:r w:rsidR="005748A3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4E5E61">
        <w:rPr>
          <w:rFonts w:ascii="Times New Roman" w:hAnsi="Times New Roman" w:cs="Times New Roman"/>
          <w:sz w:val="28"/>
          <w:szCs w:val="28"/>
        </w:rPr>
        <w:t xml:space="preserve"> «Оценка профессиональных компетенций педагогов (в контексте новых механизмов оплаты труда)», Волгоград, 2009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Формулирование проблемы подготовки нового учителя для новой школы</w:t>
      </w:r>
      <w:r w:rsidR="005748A3">
        <w:rPr>
          <w:rFonts w:ascii="Times New Roman" w:hAnsi="Times New Roman" w:cs="Times New Roman"/>
          <w:sz w:val="28"/>
          <w:szCs w:val="28"/>
        </w:rPr>
        <w:t xml:space="preserve"> и поиск путей ее решения.</w:t>
      </w:r>
    </w:p>
    <w:p w:rsidR="000531EC" w:rsidRDefault="000531EC" w:rsidP="005748A3">
      <w:pPr>
        <w:pStyle w:val="a7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построения модели компетентностной оценки профессионализма учителя.</w:t>
      </w:r>
    </w:p>
    <w:p w:rsidR="000531EC" w:rsidRDefault="00976F08" w:rsidP="0057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EC">
        <w:rPr>
          <w:rFonts w:ascii="Times New Roman" w:hAnsi="Times New Roman" w:cs="Times New Roman"/>
          <w:sz w:val="28"/>
          <w:szCs w:val="28"/>
        </w:rPr>
        <w:t>Определение поля базовых компетенций учителя</w:t>
      </w:r>
      <w:r w:rsidR="000531EC" w:rsidRPr="000531EC">
        <w:rPr>
          <w:rFonts w:ascii="Times New Roman" w:hAnsi="Times New Roman" w:cs="Times New Roman"/>
          <w:sz w:val="28"/>
          <w:szCs w:val="28"/>
        </w:rPr>
        <w:t>.</w:t>
      </w:r>
      <w:r w:rsidR="000531EC">
        <w:rPr>
          <w:rFonts w:ascii="Times New Roman" w:hAnsi="Times New Roman" w:cs="Times New Roman"/>
          <w:sz w:val="28"/>
          <w:szCs w:val="28"/>
        </w:rPr>
        <w:t xml:space="preserve"> Показатели проявления компетенций учителя. Возможность и необходимость оцифровки показателей. Периодичность пересмотра показателей, определение их приоритетности, значимости. Практическая работа: Разработка показателей проявления одной из базовых компетенций учителя.</w:t>
      </w:r>
    </w:p>
    <w:p w:rsidR="000531EC" w:rsidRDefault="000531EC" w:rsidP="005748A3">
      <w:pPr>
        <w:pStyle w:val="a7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компетентностной оценки профессионализма учителя в МБОУ СОШ № 14 «Зеленый шум».</w:t>
      </w:r>
    </w:p>
    <w:p w:rsidR="000531EC" w:rsidRDefault="000531EC" w:rsidP="006F015D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системой оценки профессионализма педагогических работников МБОУ СОШ № 14 «Зеленый шум». Особенности подходов к решению проблем критериальной базы компетентности учителя. Построение дорожной карты оценки компетентности учителей школы: организационные подходы.</w:t>
      </w:r>
    </w:p>
    <w:p w:rsidR="006F015D" w:rsidRDefault="006F015D" w:rsidP="006F015D">
      <w:pPr>
        <w:pStyle w:val="a7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перейти от системы компетентностной оценки учителя к системе управления развитием педагогического коллектива.</w:t>
      </w:r>
    </w:p>
    <w:p w:rsidR="006F015D" w:rsidRDefault="006F015D" w:rsidP="006F015D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профессиональной компетентности учителя как монитор</w:t>
      </w:r>
      <w:r w:rsidR="005748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нговый ресурс для определения путей развития учителя и образовательного учреждения.</w:t>
      </w:r>
    </w:p>
    <w:p w:rsidR="006F015D" w:rsidRDefault="006F015D" w:rsidP="006F015D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данного мониторинга, проектируемые результаты. Алгоритм управления развитием педагогического коллектива. Консультирование слушателей по вопросам построения системы управления развитием.</w:t>
      </w:r>
    </w:p>
    <w:p w:rsidR="006F015D" w:rsidRDefault="006F015D" w:rsidP="006F015D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15D" w:rsidRDefault="006F015D" w:rsidP="006F015D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F015D" w:rsidRDefault="006F015D" w:rsidP="005456B9">
      <w:pPr>
        <w:pStyle w:val="a7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Н.Н., Кузибецкий И.А., Десятериченко М.А. Львова М.Н., Насуцева Ф.А., Макарова Л.П. Оценка профессиональных компетенций педагогов (</w:t>
      </w:r>
      <w:r w:rsidR="005456B9">
        <w:rPr>
          <w:rFonts w:ascii="Times New Roman" w:hAnsi="Times New Roman" w:cs="Times New Roman"/>
          <w:sz w:val="28"/>
          <w:szCs w:val="28"/>
        </w:rPr>
        <w:t>в контексте новых механизмов оплаты труда). Методические рекомендации - Волгоград, издательство ВГАПКРО, 2009.</w:t>
      </w:r>
    </w:p>
    <w:p w:rsidR="005456B9" w:rsidRDefault="005456B9" w:rsidP="00545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6B9" w:rsidRPr="005456B9" w:rsidRDefault="005456B9" w:rsidP="00545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курса.</w:t>
      </w:r>
    </w:p>
    <w:p w:rsidR="005456B9" w:rsidRPr="00F770BC" w:rsidRDefault="005456B9" w:rsidP="00F770BC">
      <w:pPr>
        <w:tabs>
          <w:tab w:val="left" w:pos="4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9748" w:type="dxa"/>
        <w:tblLook w:val="04A0"/>
      </w:tblPr>
      <w:tblGrid>
        <w:gridCol w:w="1903"/>
        <w:gridCol w:w="1607"/>
        <w:gridCol w:w="2552"/>
        <w:gridCol w:w="2127"/>
        <w:gridCol w:w="1559"/>
      </w:tblGrid>
      <w:tr w:rsidR="005456B9" w:rsidTr="005456B9">
        <w:tc>
          <w:tcPr>
            <w:tcW w:w="1903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07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127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456B9" w:rsidTr="005456B9">
        <w:tc>
          <w:tcPr>
            <w:tcW w:w="1903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Алла Геннадьевна</w:t>
            </w:r>
          </w:p>
        </w:tc>
        <w:tc>
          <w:tcPr>
            <w:tcW w:w="1607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2552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 № 310783 выдан отделом УВД г. Волжского Волгоградской области 14.03.2001</w:t>
            </w:r>
          </w:p>
        </w:tc>
        <w:tc>
          <w:tcPr>
            <w:tcW w:w="2127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404110</w:t>
            </w:r>
          </w:p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Волжский, ул. Набережная, д.53,кв.25</w:t>
            </w:r>
          </w:p>
        </w:tc>
        <w:tc>
          <w:tcPr>
            <w:tcW w:w="1559" w:type="dxa"/>
            <w:vAlign w:val="center"/>
          </w:tcPr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8(8443)</w:t>
            </w:r>
          </w:p>
          <w:p w:rsidR="005456B9" w:rsidRDefault="005456B9" w:rsidP="005456B9">
            <w:pPr>
              <w:pStyle w:val="a7"/>
              <w:tabs>
                <w:tab w:val="left" w:pos="45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31-45-62</w:t>
            </w:r>
          </w:p>
        </w:tc>
      </w:tr>
    </w:tbl>
    <w:p w:rsidR="006F015D" w:rsidRPr="000531EC" w:rsidRDefault="006F015D" w:rsidP="005456B9">
      <w:pPr>
        <w:pStyle w:val="a7"/>
        <w:tabs>
          <w:tab w:val="left" w:pos="453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015D" w:rsidRPr="000531EC" w:rsidSect="0072234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E0" w:rsidRDefault="005B66E0" w:rsidP="00C17D1C">
      <w:pPr>
        <w:spacing w:after="0" w:line="240" w:lineRule="auto"/>
      </w:pPr>
      <w:r>
        <w:separator/>
      </w:r>
    </w:p>
  </w:endnote>
  <w:endnote w:type="continuationSeparator" w:id="0">
    <w:p w:rsidR="005B66E0" w:rsidRDefault="005B66E0" w:rsidP="00C1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E0" w:rsidRDefault="005B66E0" w:rsidP="00C17D1C">
      <w:pPr>
        <w:spacing w:after="0" w:line="240" w:lineRule="auto"/>
      </w:pPr>
      <w:r>
        <w:separator/>
      </w:r>
    </w:p>
  </w:footnote>
  <w:footnote w:type="continuationSeparator" w:id="0">
    <w:p w:rsidR="005B66E0" w:rsidRDefault="005B66E0" w:rsidP="00C1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3F"/>
    <w:multiLevelType w:val="hybridMultilevel"/>
    <w:tmpl w:val="DBFE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27C3"/>
    <w:multiLevelType w:val="hybridMultilevel"/>
    <w:tmpl w:val="434052A2"/>
    <w:lvl w:ilvl="0" w:tplc="69DED2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E411C"/>
    <w:multiLevelType w:val="hybridMultilevel"/>
    <w:tmpl w:val="02F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B1415"/>
    <w:multiLevelType w:val="hybridMultilevel"/>
    <w:tmpl w:val="435C91DE"/>
    <w:lvl w:ilvl="0" w:tplc="335C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1C"/>
    <w:rsid w:val="000531EC"/>
    <w:rsid w:val="00077961"/>
    <w:rsid w:val="000E0249"/>
    <w:rsid w:val="00184C4F"/>
    <w:rsid w:val="00217A76"/>
    <w:rsid w:val="003A2835"/>
    <w:rsid w:val="004E5E61"/>
    <w:rsid w:val="004F5240"/>
    <w:rsid w:val="00510954"/>
    <w:rsid w:val="005456B9"/>
    <w:rsid w:val="00563FC2"/>
    <w:rsid w:val="005748A3"/>
    <w:rsid w:val="005B66E0"/>
    <w:rsid w:val="005F273F"/>
    <w:rsid w:val="006B31CF"/>
    <w:rsid w:val="006C1989"/>
    <w:rsid w:val="006F015D"/>
    <w:rsid w:val="00722341"/>
    <w:rsid w:val="0073519B"/>
    <w:rsid w:val="008B214B"/>
    <w:rsid w:val="00912C41"/>
    <w:rsid w:val="00976F08"/>
    <w:rsid w:val="00AA288B"/>
    <w:rsid w:val="00AA6A90"/>
    <w:rsid w:val="00B51EE4"/>
    <w:rsid w:val="00C17D1C"/>
    <w:rsid w:val="00D63736"/>
    <w:rsid w:val="00D761D9"/>
    <w:rsid w:val="00D76374"/>
    <w:rsid w:val="00EE7B88"/>
    <w:rsid w:val="00F7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D1C"/>
  </w:style>
  <w:style w:type="paragraph" w:styleId="a5">
    <w:name w:val="footer"/>
    <w:basedOn w:val="a"/>
    <w:link w:val="a6"/>
    <w:uiPriority w:val="99"/>
    <w:semiHidden/>
    <w:unhideWhenUsed/>
    <w:rsid w:val="00C1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D1C"/>
  </w:style>
  <w:style w:type="paragraph" w:styleId="a7">
    <w:name w:val="List Paragraph"/>
    <w:basedOn w:val="a"/>
    <w:uiPriority w:val="34"/>
    <w:qFormat/>
    <w:rsid w:val="00D63736"/>
    <w:pPr>
      <w:ind w:left="720"/>
      <w:contextualSpacing/>
    </w:pPr>
  </w:style>
  <w:style w:type="table" w:styleId="a8">
    <w:name w:val="Table Grid"/>
    <w:basedOn w:val="a1"/>
    <w:uiPriority w:val="59"/>
    <w:rsid w:val="0072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2012-12-25T05:19:00Z</cp:lastPrinted>
  <dcterms:created xsi:type="dcterms:W3CDTF">2012-12-24T05:36:00Z</dcterms:created>
  <dcterms:modified xsi:type="dcterms:W3CDTF">2012-12-25T11:02:00Z</dcterms:modified>
</cp:coreProperties>
</file>